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F9" w:rsidRDefault="000802F9" w:rsidP="000802F9">
      <w:pPr>
        <w:pStyle w:val="Standard"/>
      </w:pPr>
    </w:p>
    <w:p w:rsidR="000802F9" w:rsidRDefault="000802F9" w:rsidP="000802F9">
      <w:pPr>
        <w:pStyle w:val="NormalWeb"/>
        <w:jc w:val="center"/>
        <w:rPr>
          <w:b/>
        </w:rPr>
      </w:pPr>
      <w:r>
        <w:rPr>
          <w:b/>
        </w:rPr>
        <w:t>Wesley Leadership Residence</w:t>
      </w:r>
    </w:p>
    <w:p w:rsidR="000802F9" w:rsidRDefault="000802F9" w:rsidP="000802F9">
      <w:pPr>
        <w:pStyle w:val="NormalWeb"/>
        <w:jc w:val="center"/>
        <w:rPr>
          <w:b/>
          <w:u w:val="single"/>
        </w:rPr>
      </w:pPr>
      <w:r>
        <w:rPr>
          <w:b/>
          <w:u w:val="single"/>
        </w:rPr>
        <w:t>Lease</w:t>
      </w:r>
    </w:p>
    <w:p w:rsidR="000802F9" w:rsidRDefault="000802F9" w:rsidP="000802F9">
      <w:pPr>
        <w:pStyle w:val="NormalWeb"/>
        <w:jc w:val="center"/>
        <w:rPr>
          <w:b/>
          <w:u w:val="single"/>
        </w:rPr>
      </w:pPr>
    </w:p>
    <w:p w:rsidR="000802F9" w:rsidRDefault="000802F9" w:rsidP="000802F9">
      <w:pPr>
        <w:pStyle w:val="NormalWeb"/>
        <w:jc w:val="both"/>
        <w:rPr>
          <w:b/>
        </w:rPr>
      </w:pPr>
      <w:r>
        <w:rPr>
          <w:b/>
        </w:rPr>
        <w:t>NOTICE: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rsidR="000802F9" w:rsidRDefault="000802F9" w:rsidP="000802F9">
      <w:pPr>
        <w:pStyle w:val="NormalWeb"/>
        <w:jc w:val="both"/>
      </w:pPr>
    </w:p>
    <w:p w:rsidR="000802F9" w:rsidRDefault="000802F9" w:rsidP="000802F9">
      <w:pPr>
        <w:pStyle w:val="NormalWeb"/>
        <w:jc w:val="both"/>
      </w:pPr>
      <w:r>
        <w:t>This Lease Agreement (“Lease”) is entered into this ____ day of _______________, _______, between The Wesley Foundation at Western Michigan University, hereafter referred to as the “Foundation,” and the person or persons signed below, hereinafter collectively referred to as the “Resident.” The Foundation, for and in consideration of the rents to be paid and the covenants to be performed by the Resident, does hereby lease to Resident on the following terms:</w:t>
      </w:r>
    </w:p>
    <w:p w:rsidR="000802F9" w:rsidRDefault="000802F9" w:rsidP="000802F9">
      <w:pPr>
        <w:pStyle w:val="NormalWeb"/>
        <w:jc w:val="both"/>
      </w:pPr>
    </w:p>
    <w:p w:rsidR="000802F9" w:rsidRDefault="000802F9" w:rsidP="000802F9">
      <w:pPr>
        <w:pStyle w:val="NormalWeb"/>
        <w:numPr>
          <w:ilvl w:val="0"/>
          <w:numId w:val="1"/>
        </w:numPr>
        <w:spacing w:after="240"/>
        <w:jc w:val="both"/>
      </w:pPr>
      <w:r>
        <w:rPr>
          <w:b/>
        </w:rPr>
        <w:t>DESCRIPTION OF PREMISES</w:t>
      </w:r>
      <w:r>
        <w:t>:</w:t>
      </w:r>
      <w:r>
        <w:rPr>
          <w:b/>
        </w:rPr>
        <w:t xml:space="preserve"> </w:t>
      </w:r>
      <w:r>
        <w:t>Bedroom #____ (the “Unit”) located in The Wesley Leadership Residence (the “Residence” or “premises”), located at 2348 Ring Road North, Kalamazoo, MI. Any references to the Residence herein shall include all of the units located within the Residence, including the Unit herein.</w:t>
      </w:r>
    </w:p>
    <w:p w:rsidR="000802F9" w:rsidRDefault="000802F9" w:rsidP="000802F9">
      <w:pPr>
        <w:pStyle w:val="NormalWeb"/>
        <w:numPr>
          <w:ilvl w:val="0"/>
          <w:numId w:val="1"/>
        </w:numPr>
        <w:spacing w:after="240"/>
        <w:jc w:val="both"/>
      </w:pPr>
      <w:r>
        <w:rPr>
          <w:b/>
        </w:rPr>
        <w:t>TERM</w:t>
      </w:r>
      <w:r>
        <w:t>: The term of this Lease shall be twelve (12) months, commencing on August 21st, 2018, and ending at 12:00 midnight on August 19</w:t>
      </w:r>
      <w:r w:rsidRPr="009D2440">
        <w:rPr>
          <w:vertAlign w:val="superscript"/>
        </w:rPr>
        <w:t>th</w:t>
      </w:r>
      <w:r>
        <w:t>, 2019.</w:t>
      </w:r>
    </w:p>
    <w:p w:rsidR="000802F9" w:rsidRDefault="000802F9" w:rsidP="000802F9">
      <w:pPr>
        <w:pStyle w:val="NormalWeb"/>
        <w:numPr>
          <w:ilvl w:val="0"/>
          <w:numId w:val="1"/>
        </w:numPr>
        <w:spacing w:after="240"/>
        <w:jc w:val="both"/>
      </w:pPr>
      <w:r>
        <w:rPr>
          <w:b/>
        </w:rPr>
        <w:t>RENT</w:t>
      </w:r>
      <w:r>
        <w:t>: Resident hereby agrees to pay annual rent of $4620.00, which shall be payable in monthly installments of $385.00, which shall be due on or before the twentieth day of each month for the month following during the term of this Lease.  The term of this Lease shall be renewed unless an agreement for the same is signed by the Foundation and the Resident.  Any tenant holdover shall be on a month-to-month basis at the then current rental rate.  Resident will not be issued a room key until his or her first payment is received by the Foundation.</w:t>
      </w:r>
    </w:p>
    <w:p w:rsidR="000802F9" w:rsidRDefault="000802F9" w:rsidP="000802F9">
      <w:pPr>
        <w:pStyle w:val="NormalWeb"/>
        <w:jc w:val="both"/>
      </w:pPr>
      <w:r>
        <w:t>There will be a grace period of 5 days from the day the rent is due.  A late charge of $30.00 will automatically be charged on the sixth day if the rent is not paid on time.  If rent remains unpaid 10 days after the twentieth of the month, Wesley will begin eviction proceedings on the eleventh day.  This applies to all payment plans.  A flat charge of $30.00 will be assessed to the Resident for all checks returned from banks plus any late fees that apply.  Resident may deposit checks in the Foundation’s account. Automatic transfer forms for payment plan will be provided on request.</w:t>
      </w:r>
    </w:p>
    <w:p w:rsidR="000802F9" w:rsidRDefault="000802F9" w:rsidP="000802F9">
      <w:pPr>
        <w:pStyle w:val="NormalWeb"/>
        <w:jc w:val="both"/>
      </w:pPr>
    </w:p>
    <w:p w:rsidR="000802F9" w:rsidRDefault="000802F9" w:rsidP="000802F9">
      <w:pPr>
        <w:pStyle w:val="NormalWeb"/>
        <w:numPr>
          <w:ilvl w:val="0"/>
          <w:numId w:val="1"/>
        </w:numPr>
        <w:spacing w:after="240"/>
        <w:jc w:val="both"/>
      </w:pPr>
      <w:r>
        <w:rPr>
          <w:b/>
          <w:bCs/>
        </w:rPr>
        <w:t>WESLEY COVENANT AGREEMENT</w:t>
      </w:r>
      <w:r>
        <w:t>: Resident agrees that all agreements between the Foundation and Resident are set forth in this Lease Agreement and the “Wesley Covenant Agreement,” which is incorporated herein by reference.  Resident understands that living within the Wesley Covenant Agreement is a condition of residence at the Residence.  All rules and policies attached hereto, or hereafter adopted by the Foundation and made known to Resident, shall have the same force and effect as covenants of this Lease and Wesley Covenant Agreement.   No other agreements of any kind, oral or otherwise, have been made. Resident covenants that he or she, family or guests will read, observe and abide by all such rules and regulations.  The provisions of these documents shall be binding upon and shall be for the benefit of the Resident, Foundation, and their respective successors in interest.</w:t>
      </w:r>
    </w:p>
    <w:p w:rsidR="000802F9" w:rsidRDefault="000802F9" w:rsidP="000802F9">
      <w:pPr>
        <w:pStyle w:val="NormalWeb"/>
        <w:numPr>
          <w:ilvl w:val="0"/>
          <w:numId w:val="1"/>
        </w:numPr>
        <w:spacing w:after="240"/>
        <w:jc w:val="both"/>
      </w:pPr>
      <w:r>
        <w:rPr>
          <w:b/>
        </w:rPr>
        <w:t>INDIVIDUAL RESPONSIBILITY</w:t>
      </w:r>
      <w:r>
        <w:t xml:space="preserve">: Each Resident shall be individually liable for the rent set forth in paragraph 3 above.  Resident shall be individually liable for any damage done to the Unit. Damage done to the </w:t>
      </w:r>
      <w:r>
        <w:lastRenderedPageBreak/>
        <w:t>common areas of the Residence shall be the joint and several liability of all residents who are leasing a unit within the Residence at the time of the damage without regard to the cause of the damage.</w:t>
      </w:r>
    </w:p>
    <w:p w:rsidR="000802F9" w:rsidRDefault="000802F9" w:rsidP="000802F9">
      <w:pPr>
        <w:pStyle w:val="NormalWeb"/>
        <w:numPr>
          <w:ilvl w:val="0"/>
          <w:numId w:val="1"/>
        </w:numPr>
        <w:spacing w:after="240"/>
        <w:jc w:val="both"/>
      </w:pPr>
      <w:r>
        <w:rPr>
          <w:b/>
        </w:rPr>
        <w:t>SECURITY DEPOSIT</w:t>
      </w:r>
      <w:r>
        <w:t xml:space="preserve">: Resident agrees to pay the sum of $385, being one month’s rent, on the execution of this Lease, which sum shall be held in deposit at Chemical Bank, located in Kalamazoo, Michigan, by the Foundation as a Security Deposit and will not be returned until after the Unit has been vacated at the end of the Lease term.    The Security Deposit shall be used by the Foundation consistent with Michigan law.  </w:t>
      </w:r>
    </w:p>
    <w:p w:rsidR="000802F9" w:rsidRDefault="000802F9" w:rsidP="000802F9">
      <w:pPr>
        <w:pStyle w:val="NormalWeb"/>
        <w:numPr>
          <w:ilvl w:val="0"/>
          <w:numId w:val="1"/>
        </w:numPr>
        <w:spacing w:after="240"/>
        <w:jc w:val="both"/>
      </w:pPr>
      <w:r>
        <w:rPr>
          <w:b/>
        </w:rPr>
        <w:t>NON-ASSIGNMENT</w:t>
      </w:r>
      <w:r>
        <w:t xml:space="preserve">: The Resident agrees not to assign or sub-lease this Lease or the Unit without the written consent of Foundation.  The Unit shall be occupied only by the Resident and other persons who the Foundation expressly permits to occupy the Residence in writing. </w:t>
      </w:r>
    </w:p>
    <w:p w:rsidR="000802F9" w:rsidRDefault="000802F9" w:rsidP="000802F9">
      <w:pPr>
        <w:pStyle w:val="NormalWeb"/>
        <w:numPr>
          <w:ilvl w:val="0"/>
          <w:numId w:val="1"/>
        </w:numPr>
        <w:spacing w:after="240"/>
        <w:jc w:val="both"/>
      </w:pPr>
      <w:r>
        <w:rPr>
          <w:b/>
        </w:rPr>
        <w:t>UTILITIES</w:t>
      </w:r>
      <w:r>
        <w:t>: Foundation will cover costs for water, sewer, trash, internet, and TV.  TV provider and package provided may change during the term of the Lease.</w:t>
      </w:r>
    </w:p>
    <w:p w:rsidR="000802F9" w:rsidRDefault="000802F9" w:rsidP="000802F9">
      <w:pPr>
        <w:pStyle w:val="NormalWeb"/>
        <w:spacing w:after="240"/>
        <w:jc w:val="both"/>
      </w:pPr>
      <w:r>
        <w:t xml:space="preserve">Electric utilities are the collective responsibility of all residents of all units in the Residence.  These utilities will be paid by the Foundation, who will jointly bill all residents of the Residence each month.  </w:t>
      </w:r>
    </w:p>
    <w:p w:rsidR="000802F9" w:rsidRDefault="000802F9" w:rsidP="000802F9">
      <w:pPr>
        <w:pStyle w:val="NormalWeb"/>
        <w:numPr>
          <w:ilvl w:val="0"/>
          <w:numId w:val="1"/>
        </w:numPr>
        <w:spacing w:after="240"/>
        <w:jc w:val="both"/>
      </w:pPr>
      <w:r>
        <w:t xml:space="preserve"> </w:t>
      </w:r>
      <w:r>
        <w:rPr>
          <w:b/>
        </w:rPr>
        <w:t xml:space="preserve">CONDITION OF PREMISES:  </w:t>
      </w:r>
      <w:r>
        <w:t>Resident warrants that it has received two (2) inventory checklists pursuant to MCL §554.608, and further accepts that the premises are acceptable in their present condition as of the date of execution of this Lease.  Resident agrees that the Foundation has made no representations or warranties regarding the physical, structural, environmental, or other condition of the Unit, and accepts the premises in “AS IS” “WHERE IS” condition with all latent and patent defects.  The Foundation will not make repairs or improvements prior to or after the execution of this Lease.  Resident shall complete one of the inventory checklists and return it to the Foundation within seven (7) days after taking possession of the Unit, and the other at the termination of occupancy.  Resident covenants and agrees that Resident will not cause, allow, or permit any waste, misuse, or neglect of the Unit, or of any furnishings provided by the foundation, if any, and Resident agrees to pay for all damages caused to the Unit and to all of Resident's personal property therein.  Resident further agrees that Resident will not permit any members of its family, invitees, guests, or any other persons in or around the Unit or Residence, to commit any waste, misuse, or neglect of the Unit, and in the event such person(s) shall cause such damage, Resident shall pay for the same.  At the end of the term of this Lease, or earlier termination hereof, Resident agrees to deliver the Unit and Residence to the Foundation in the same condition as at the time this Lease was executed, reasonable wear and tear excepted.  Resident also acknowledges that a smoke detector has been provided by the Foundation to the Unit and that Resident shall have the obligation to replace the battery and repair the smoke detector, if necessary.  Resident shall indemnify, defend, and hold the Foundation harmless from all costs, liability, damages, and expenses incurred by the  Foundation related to the smoke detector not working properly for any reason whatsoever.</w:t>
      </w:r>
      <w:r>
        <w:rPr>
          <w:b/>
        </w:rPr>
        <w:t xml:space="preserve">  </w:t>
      </w:r>
      <w:r>
        <w:t xml:space="preserve"> </w:t>
      </w:r>
    </w:p>
    <w:p w:rsidR="000802F9" w:rsidRDefault="000802F9" w:rsidP="000802F9">
      <w:pPr>
        <w:pStyle w:val="NormalWeb"/>
        <w:numPr>
          <w:ilvl w:val="0"/>
          <w:numId w:val="1"/>
        </w:numPr>
        <w:spacing w:after="240"/>
        <w:jc w:val="both"/>
      </w:pPr>
      <w:r>
        <w:rPr>
          <w:b/>
        </w:rPr>
        <w:t>ENTRY:</w:t>
      </w:r>
      <w:r>
        <w:t xml:space="preserve"> The Resident agrees that at reasonable times (not exceeding 24 hours after request by the Foundation except in case of emergency, in which case the Foundation shall have access at any time and there shall be no notice required for entry), the Foundation or its agents may enter the Residence or Unit for purposes of inspection, repairs or to show to prospective residents.  Foundation, any Residence manager, or maintenance staff may enter the Unit or Residence without Resident’s prior notice, presence, and/or express permission, by any means necessary including, but not limited to, use of duplicate or master key or by force, to allow a government inspector (including, but not limited to</w:t>
      </w:r>
      <w:r>
        <w:rPr>
          <w:i/>
          <w:iCs/>
        </w:rPr>
        <w:t xml:space="preserve">, </w:t>
      </w:r>
      <w:r>
        <w:t>building inspectors, fire marshals, and environmental inspectors) access to a Unit or Residence as part of an inspection . If Foundation suspects an illegal occupant of the Unit or Residence, Resident understands and agrees to allow Foundation to enter and inspect the premises.</w:t>
      </w:r>
    </w:p>
    <w:p w:rsidR="000802F9" w:rsidRDefault="000802F9" w:rsidP="000802F9">
      <w:pPr>
        <w:pStyle w:val="NormalWeb"/>
        <w:numPr>
          <w:ilvl w:val="0"/>
          <w:numId w:val="1"/>
        </w:numPr>
        <w:spacing w:after="240"/>
        <w:jc w:val="both"/>
      </w:pPr>
      <w:r>
        <w:rPr>
          <w:b/>
        </w:rPr>
        <w:t>FURNISHINGS</w:t>
      </w:r>
      <w:r>
        <w:t xml:space="preserve">: Resident agrees not to remove items from the Residence that he or she does not own.  Resident agrees not to bring waterbeds into the Residence.  No window air conditioners are allowed.  Resident shall not to leave any furniture or personal belongings behind without express permission of the Foundation.  </w:t>
      </w:r>
      <w:r>
        <w:lastRenderedPageBreak/>
        <w:t xml:space="preserve">Resident shall not use any stickers, nails, or hooks within any part of the Residence, nor apply paint to any surfaces.  Resident may use small brad nails on walls.  Residents shall not make any other alterations of any kind or nature to the Unit or Residence without the written approval of the Foundation. </w:t>
      </w:r>
    </w:p>
    <w:p w:rsidR="000802F9" w:rsidRDefault="000802F9" w:rsidP="000802F9">
      <w:pPr>
        <w:pStyle w:val="NormalWeb"/>
        <w:spacing w:after="240"/>
        <w:jc w:val="both"/>
      </w:pPr>
      <w:r>
        <w:t>The Residence will contain appliances and common area furniture, but is otherwise unfurnished.  Personal property left by any resident after the end of the term or earlier termination of this Lease shall belong to the Foundation and may be removed by Foundation at will, without liability to Resident, and sold or disposed of, or Foundation may take any other action related thereto.</w:t>
      </w:r>
    </w:p>
    <w:p w:rsidR="000802F9" w:rsidRDefault="000802F9" w:rsidP="000802F9">
      <w:pPr>
        <w:pStyle w:val="NormalWeb"/>
        <w:numPr>
          <w:ilvl w:val="0"/>
          <w:numId w:val="1"/>
        </w:numPr>
        <w:spacing w:after="240"/>
        <w:jc w:val="both"/>
      </w:pPr>
      <w:r>
        <w:rPr>
          <w:b/>
        </w:rPr>
        <w:t>CLEANING</w:t>
      </w:r>
      <w:r>
        <w:t xml:space="preserve">: All cleaning is the responsibility of Resident.  The Unit, as well as the Residence, shall be kept in a clean and healthy manner, as determined by the Foundation in its sole discretion, and no junk or garbage, or other waste, shall accumulate in the Residence. </w:t>
      </w:r>
    </w:p>
    <w:p w:rsidR="000802F9" w:rsidRDefault="000802F9" w:rsidP="000802F9">
      <w:pPr>
        <w:pStyle w:val="NormalWeb"/>
        <w:numPr>
          <w:ilvl w:val="0"/>
          <w:numId w:val="1"/>
        </w:numPr>
        <w:spacing w:after="240"/>
        <w:jc w:val="both"/>
      </w:pPr>
      <w:r>
        <w:rPr>
          <w:b/>
        </w:rPr>
        <w:t>MAINTENANCE</w:t>
      </w:r>
      <w:r>
        <w:t>: Resident shall be responsible, at his or her cost, for his or her basic maintenance needs of the Unit, including but not limited to</w:t>
      </w:r>
      <w:r>
        <w:rPr>
          <w:kern w:val="0"/>
        </w:rPr>
        <w:t xml:space="preserve"> </w:t>
      </w:r>
      <w:r>
        <w:t>the repairing of cracked or broken window glass in the Residence, to replace all light bulbs in the Unit, and Resident shall keep the window glass clean at all times and shall not cover any window in any manner, which, in the opinion of the Foundation, detracts from the appearance of the Residence.  Resident shall also ensure that the premises do not become infested by insects, rodents, or any other vermin or pests, and if said pests are found, the same shall be considered a default of this Lease by Resident and without waiver of the foregoing, the Foundation shall have the right to exterminate the same and Resident shall reimburse the Foundation for all costs and expenses incurred by the Foundation in such extermination, due on the first day of the month after such costs have been incurred by the Foundation.  Major maintenance needs shall be promptly submitted to the Foundation to complete, and the Foundation shall determine what is routine maintenance for which the Resident is responsible and any substantial maintenance for which the Foundation is responsible.</w:t>
      </w:r>
    </w:p>
    <w:p w:rsidR="000802F9" w:rsidRDefault="000802F9" w:rsidP="000802F9">
      <w:pPr>
        <w:pStyle w:val="NormalWeb"/>
        <w:numPr>
          <w:ilvl w:val="0"/>
          <w:numId w:val="1"/>
        </w:numPr>
        <w:spacing w:after="240"/>
        <w:jc w:val="both"/>
      </w:pPr>
      <w:r>
        <w:rPr>
          <w:b/>
        </w:rPr>
        <w:t>CARPET CLEANING</w:t>
      </w:r>
      <w:r>
        <w:t>:  Upon the expiration or termination of the Lease term, or any renewal term, the Foundation may elect to have the carpets in the premises cleaned by a professional carpet cleaning service.  The cost of such cleaning shall be paid by the Resident at the time the Lease is executed, in the amount of $100.00, which shall be a non-refundable fee, which shall not be returned to Resident under any circumstances and which is payable in addition to the security deposit pursuant to MCLA § 554.601 et seq.</w:t>
      </w:r>
    </w:p>
    <w:p w:rsidR="000802F9" w:rsidRDefault="000802F9" w:rsidP="000802F9">
      <w:pPr>
        <w:pStyle w:val="NormalWeb"/>
        <w:numPr>
          <w:ilvl w:val="0"/>
          <w:numId w:val="1"/>
        </w:numPr>
        <w:spacing w:after="240"/>
        <w:jc w:val="both"/>
      </w:pPr>
      <w:r>
        <w:rPr>
          <w:b/>
        </w:rPr>
        <w:t>SMOKE DETECTORS</w:t>
      </w:r>
      <w:r>
        <w:t>: If at any time, the smoke detector is disconnected or without its battery, Resident will be charged $50.00.  Resident shall keep the smoke detector in the Unit working at all times, and all residents of a Residence shall keep any smoke detector located in the common areas of the Residence working at all times.  The Foundation shall have no liability to Resident related to any faulty or non-working smoke or fire detector.</w:t>
      </w:r>
    </w:p>
    <w:p w:rsidR="000802F9" w:rsidRDefault="000802F9" w:rsidP="000802F9">
      <w:pPr>
        <w:pStyle w:val="NormalWeb"/>
        <w:numPr>
          <w:ilvl w:val="0"/>
          <w:numId w:val="1"/>
        </w:numPr>
        <w:spacing w:after="240"/>
        <w:jc w:val="both"/>
      </w:pPr>
      <w:r>
        <w:rPr>
          <w:b/>
        </w:rPr>
        <w:t>NO SMOKING</w:t>
      </w:r>
      <w:r>
        <w:t>: No smoking is allowed in the building or within 30 feet of the doors. Residents may smoke at the designated areas outside of the Wesley Center.</w:t>
      </w:r>
    </w:p>
    <w:p w:rsidR="000802F9" w:rsidRDefault="000802F9" w:rsidP="000802F9">
      <w:pPr>
        <w:pStyle w:val="NormalWeb"/>
        <w:numPr>
          <w:ilvl w:val="0"/>
          <w:numId w:val="1"/>
        </w:numPr>
        <w:spacing w:after="240"/>
        <w:jc w:val="both"/>
      </w:pPr>
      <w:r>
        <w:rPr>
          <w:b/>
        </w:rPr>
        <w:t>PETS</w:t>
      </w:r>
      <w:r>
        <w:t>: No animals, including all pets, are allowed at the Residence.</w:t>
      </w:r>
    </w:p>
    <w:p w:rsidR="000802F9" w:rsidRDefault="000802F9" w:rsidP="000802F9">
      <w:pPr>
        <w:pStyle w:val="NormalWeb"/>
        <w:numPr>
          <w:ilvl w:val="0"/>
          <w:numId w:val="1"/>
        </w:numPr>
        <w:spacing w:after="240"/>
        <w:jc w:val="both"/>
      </w:pPr>
      <w:r>
        <w:rPr>
          <w:b/>
        </w:rPr>
        <w:t>TRASH AND HOUSEHOLD ITEMS</w:t>
      </w:r>
      <w:r>
        <w:t xml:space="preserve">: Trash must be placed in plastic bags and placed in the dumpsters provided or designated area.  Trash is not to be left outside the Residence.  A charge of $25.00 per item will be charged to Resident if the Foundation must remove and dispose of garbage. </w:t>
      </w:r>
    </w:p>
    <w:p w:rsidR="000802F9" w:rsidRDefault="000802F9" w:rsidP="000802F9">
      <w:pPr>
        <w:pStyle w:val="NormalWeb"/>
        <w:spacing w:after="240"/>
        <w:jc w:val="both"/>
      </w:pPr>
      <w:r>
        <w:t>Resident agrees that no barbells, firearms, gasoline, or any other hazardous or toxic substance or waste shall be allowed anywhere inside the Residence or on the Foundation’s property.  Any such items found will be confiscated and disposed of by Foundation at the Resident’s cost.  No propane tanks are allowed in the Residence or entry ways.</w:t>
      </w:r>
    </w:p>
    <w:p w:rsidR="000802F9" w:rsidRDefault="000802F9" w:rsidP="000802F9">
      <w:pPr>
        <w:pStyle w:val="NormalWeb"/>
        <w:numPr>
          <w:ilvl w:val="0"/>
          <w:numId w:val="1"/>
        </w:numPr>
        <w:spacing w:after="240"/>
        <w:jc w:val="both"/>
      </w:pPr>
      <w:r>
        <w:rPr>
          <w:b/>
        </w:rPr>
        <w:lastRenderedPageBreak/>
        <w:t>THERMOSTAT SETTINGS</w:t>
      </w:r>
      <w:r>
        <w:t>: Settings below 60° may result in frozen water pipes.  Residents are responsible to keep thermostats above 60° at all times and shall be liable for all damage caused by freezing pipes caused by Resident not keeping thermostat at a sufficient level.</w:t>
      </w:r>
    </w:p>
    <w:p w:rsidR="000802F9" w:rsidRDefault="000802F9" w:rsidP="000802F9">
      <w:pPr>
        <w:pStyle w:val="NormalWeb"/>
        <w:numPr>
          <w:ilvl w:val="0"/>
          <w:numId w:val="1"/>
        </w:numPr>
        <w:spacing w:after="240"/>
        <w:jc w:val="both"/>
      </w:pPr>
      <w:r>
        <w:rPr>
          <w:b/>
        </w:rPr>
        <w:t>RESIDENT’S INSURANCE POLICY</w:t>
      </w:r>
      <w:r>
        <w:t>: RESIDENT ACKNOWLEDGES THAT FOUNDATION HAS INFORMED RESIDENT THAT NO INSURANCE CARRIED BY FOUNDATION INSURES RESIDENT AGAINST LOSS, DAMAGE, INJURY, OR DEATH  TO RESIDENT OR TO RESIDENT’S GUESTS EXCEPT IN CIRCUMSTANCES WHERE LIABILITY IS IMPOSED ON FOUNDATION BY LAW, AND RESIDENT FURTHER ACKNOWLEDGES THAT FOUNDATION HAS RECOMMENDED RESIDENT SECURE RENTER’S OR OTHER INSURANCE PROTECTING RESIDENT AND RESIDENT’S GUESTS FROM LOSS OR DAMAGE TO RESIDENT’S OR GUESTS’ PROPERTY OR ANY INJURY OR DEATH TO RESIDENT OR RESIDENT’S GUESTS SUSTAINED ON THE PREMISES.</w:t>
      </w:r>
    </w:p>
    <w:p w:rsidR="000802F9" w:rsidRDefault="000802F9" w:rsidP="000802F9">
      <w:pPr>
        <w:pStyle w:val="NormalWeb"/>
        <w:numPr>
          <w:ilvl w:val="0"/>
          <w:numId w:val="1"/>
        </w:numPr>
        <w:spacing w:after="240"/>
        <w:jc w:val="both"/>
      </w:pPr>
      <w:r>
        <w:t>WAIVER OF SUBROGATION:  The Foundation and the Resident each release the other party from any liability for any loss, damage, or injury caused by fire or other damage for which insurance (permitting waiver of liability and waiver of insurer's right of subrogation) is carried by the insured party to the extent of any recovery by the insured party under such insurance policy.  Each party further agrees to obtain, if necessary, an endorsement by said party’s insurance companies who are providing any insurance coverage related to the premises, which recognizes the full waiver of the insurer’s right of subrogation under any policy.</w:t>
      </w:r>
    </w:p>
    <w:p w:rsidR="000802F9" w:rsidRDefault="000802F9" w:rsidP="000802F9">
      <w:pPr>
        <w:pStyle w:val="NormalWeb"/>
        <w:numPr>
          <w:ilvl w:val="0"/>
          <w:numId w:val="1"/>
        </w:numPr>
        <w:spacing w:after="240"/>
        <w:jc w:val="both"/>
      </w:pPr>
      <w:r>
        <w:rPr>
          <w:b/>
          <w:bCs/>
        </w:rPr>
        <w:t>FORWARDING ADDRESS</w:t>
      </w:r>
      <w:r>
        <w:rPr>
          <w:bCs/>
        </w:rPr>
        <w:t xml:space="preserve">: </w:t>
      </w:r>
      <w:r>
        <w:rPr>
          <w:b/>
          <w:bCs/>
        </w:rPr>
        <w:t>YOU MUST NOTIFY YOUR THE  FOUNDATION IN WRITING WITHIN 4 DAYS AFTER YOU MOVE OF A FORWARDING ADDRESS WHERE YOU CAN BE REACHED AND WHERE YOU WILL RECEIVE MAIL; OTHERWISE YOUR THE  FOUNDATION SHALL BE RELIEVED OF SENDING YOU AN ITEMIZED LIST OF DAMAGES AND THE PENALTIES ADHERENT TO THAT FAILURE.</w:t>
      </w:r>
      <w:r>
        <w:rPr>
          <w:bCs/>
        </w:rPr>
        <w:t xml:space="preserve"> </w:t>
      </w:r>
    </w:p>
    <w:p w:rsidR="000802F9" w:rsidRDefault="000802F9" w:rsidP="000802F9">
      <w:pPr>
        <w:pStyle w:val="NormalWeb"/>
        <w:numPr>
          <w:ilvl w:val="0"/>
          <w:numId w:val="1"/>
        </w:numPr>
        <w:spacing w:after="240"/>
        <w:jc w:val="both"/>
      </w:pPr>
      <w:r>
        <w:rPr>
          <w:b/>
        </w:rPr>
        <w:t>PARKING LOT</w:t>
      </w:r>
      <w:r>
        <w:t xml:space="preserve">: Each Resident is allowed to reserve one parking space in the Wesley parking lot for his or her vehicle. Visitors to the Residence are </w:t>
      </w:r>
      <w:r>
        <w:rPr>
          <w:i/>
        </w:rPr>
        <w:t>not</w:t>
      </w:r>
      <w:r>
        <w:t xml:space="preserve"> visitors to Wesley and are not allowed to park in the Wesley lot before 5 p.m. on weekdays without a guest permit, which may or may not be given by Wesley depending on current parking needs.</w:t>
      </w:r>
    </w:p>
    <w:p w:rsidR="000802F9" w:rsidRDefault="000802F9" w:rsidP="000802F9">
      <w:pPr>
        <w:pStyle w:val="NormalWeb"/>
        <w:numPr>
          <w:ilvl w:val="0"/>
          <w:numId w:val="1"/>
        </w:numPr>
        <w:spacing w:after="240"/>
        <w:jc w:val="both"/>
      </w:pPr>
      <w:r>
        <w:rPr>
          <w:b/>
        </w:rPr>
        <w:t xml:space="preserve">OCCUPANCY AND JOINT LIABILITY:  </w:t>
      </w:r>
      <w:r>
        <w:t>The premises herein described shall be occupied by only the individuals who are specifically named as Resident above.  No other individuals shall occupy or reside at the premises without the express written consent of the Foundation, and violation of this paragraph is a material breach and default of this Lease and gives the Foundation the remedies set forth herein.  Should this instrument be executed by more than one person as Resident, then the liability of said individuals hereunder shall be joint and several.  Any paragraphs herein providing singular nouns and pronouns shall be construed in the plural.</w:t>
      </w:r>
    </w:p>
    <w:p w:rsidR="000802F9" w:rsidRDefault="000802F9" w:rsidP="000802F9">
      <w:pPr>
        <w:pStyle w:val="NormalWeb"/>
        <w:numPr>
          <w:ilvl w:val="0"/>
          <w:numId w:val="1"/>
        </w:numPr>
        <w:spacing w:after="240"/>
        <w:jc w:val="both"/>
      </w:pPr>
      <w:r>
        <w:rPr>
          <w:b/>
        </w:rPr>
        <w:t>ABANDONMENT</w:t>
      </w:r>
      <w:r>
        <w:t>: In the event that the Unit has been abandoned or upon termination of Lease term, any property left in the premises shall be deemed abandoned.  The Foundation shall have the right to dispose of any property remaining in or around the Residence after the termination of this Lease.  Such property shall be considered the Foundation’s property and title shall vest in the Foundation.  The Foundation is entitled to the reasonable disposal costs for disposal of any property abandoned.</w:t>
      </w:r>
    </w:p>
    <w:p w:rsidR="000802F9" w:rsidRDefault="000802F9" w:rsidP="000802F9">
      <w:pPr>
        <w:pStyle w:val="NormalWeb"/>
        <w:numPr>
          <w:ilvl w:val="0"/>
          <w:numId w:val="1"/>
        </w:numPr>
        <w:spacing w:after="240"/>
        <w:jc w:val="both"/>
      </w:pPr>
      <w:r>
        <w:rPr>
          <w:b/>
        </w:rPr>
        <w:t>ILLEGAL OCCUPANTS</w:t>
      </w:r>
      <w:r>
        <w:t xml:space="preserve">: Resident understands that if any person is discovered to be staying, occupying, or otherwise living in the Residence and not a temporary guest or visitor, who is not under a lease agreement or without prior written permission from the Foundation, then an additional sum of up to $3,500.00 per person may be assessed by the Foundation to the Resident who shall pay the same upon demand from the Foundation.  Any person who does not have a lease agreement for the Residence, but who resides in the Residence for more than four (4) days within a thirty </w:t>
      </w:r>
      <w:r>
        <w:rPr>
          <w:bCs/>
        </w:rPr>
        <w:t xml:space="preserve">(30) </w:t>
      </w:r>
      <w:r>
        <w:t xml:space="preserve">day period, will be considered as an unauthorized resident who is residing in the Residence and who would be deemed to be in breach of this paragraph.  Such unauthorized tenancy </w:t>
      </w:r>
      <w:r>
        <w:lastRenderedPageBreak/>
        <w:t>shall also constitute a material breach of this Lease, subjecting Resident to being evicted from the premises.  Resident agrees not to allow non-Residents (anyone not currently obligated to pay rent to Foundation) to store any belongings of any kind in Resident’s Unit at any time without prior written permission from Foundation.  Any non-Resident’s belongings must be removed within two (2) days of notification, and current Residents will be charged $20/day from the beginning of the Lease term.</w:t>
      </w:r>
    </w:p>
    <w:p w:rsidR="000802F9" w:rsidRDefault="000802F9" w:rsidP="000802F9">
      <w:pPr>
        <w:pStyle w:val="NormalWeb"/>
        <w:numPr>
          <w:ilvl w:val="0"/>
          <w:numId w:val="1"/>
        </w:numPr>
        <w:spacing w:after="240"/>
        <w:jc w:val="both"/>
      </w:pPr>
      <w:r>
        <w:rPr>
          <w:b/>
        </w:rPr>
        <w:t>UNTENANTABILITY</w:t>
      </w:r>
      <w:r>
        <w:t>: If the Residence becomes wholly untenantable because of fire or other casualty, Foundation may cancel this Lease by notifying Resident in writing, and Resident shall surrender the Residence to Foundation.  If for the same reasons the Residence becomes partially untenantable, or wholly untenantable without the Foundation canceling this Lease, then the Foundation shall repair the Residence with reasonable speed.  From the date of the casualty, until repairs are substantially completed, Rent shall abate in the same percentage that the Residence is untenantable, unless the untenantability is caused by negligence or intentional misconduct of Resident or his or her guests or invitees, in which case Resident shall owe all rental due under the Lease regardless if the Foundation repairs the Residence.  The Foundation is not liable for failure to repair until Resident has notified Foundation of the need for repair and a reasonable time to make the repair has passed thereafter. If 50% or more of the Residence is untenantable, the Residence is considered “wholly untenantable.”</w:t>
      </w:r>
    </w:p>
    <w:p w:rsidR="000802F9" w:rsidRDefault="000802F9" w:rsidP="000802F9">
      <w:pPr>
        <w:pStyle w:val="NormalWeb"/>
        <w:numPr>
          <w:ilvl w:val="0"/>
          <w:numId w:val="1"/>
        </w:numPr>
        <w:spacing w:after="240"/>
        <w:jc w:val="both"/>
      </w:pPr>
      <w:r>
        <w:rPr>
          <w:b/>
        </w:rPr>
        <w:t>HIGH-SPEED INTERNET ACCESS</w:t>
      </w:r>
      <w:r>
        <w:t>: Resident will receive high-speed internet access for the Lease term.  Resident understands that the Foundation has contracted with an internet service provider (the “Provider”) so that Resident may have high-speed internet access (the “Service”) in the Residence.  The use of the service by Resident is subject to the terms and conditions set forth in the subscription contract Foundation signs with Provider.  The use of the Service by the Resident is subject to the following terms and conditions:</w:t>
      </w:r>
    </w:p>
    <w:p w:rsidR="000802F9" w:rsidRDefault="000802F9" w:rsidP="000802F9">
      <w:pPr>
        <w:pStyle w:val="NormalWeb"/>
        <w:numPr>
          <w:ilvl w:val="1"/>
          <w:numId w:val="1"/>
        </w:numPr>
        <w:spacing w:after="240"/>
        <w:ind w:left="360"/>
        <w:jc w:val="both"/>
      </w:pPr>
      <w:r>
        <w:rPr>
          <w:b/>
        </w:rPr>
        <w:t>FOUNDATION MAY DETERMINE PERMISSIBLE USES OF SERVICE</w:t>
      </w:r>
      <w:r>
        <w:t>.  Foundation reserves the right to determine at its sole discretion what uses or the scope of the Service which are and are not permissible.</w:t>
      </w:r>
    </w:p>
    <w:p w:rsidR="000802F9" w:rsidRDefault="000802F9" w:rsidP="000802F9">
      <w:pPr>
        <w:pStyle w:val="NormalWeb"/>
        <w:numPr>
          <w:ilvl w:val="1"/>
          <w:numId w:val="1"/>
        </w:numPr>
        <w:spacing w:after="240"/>
        <w:ind w:left="360"/>
        <w:jc w:val="both"/>
      </w:pPr>
      <w:r>
        <w:rPr>
          <w:b/>
        </w:rPr>
        <w:t>NO RENT ABATEMENT FOR SERVICE DISRUPTIONS</w:t>
      </w:r>
      <w:r>
        <w:t>.  Foundation shall in no way be liable or responsible for any loss, damage, or expense that the Resident may sustain or incur by reason of any change, failure, interference, disruption, or defect in the supply or character of the Service or if the quantity of the Service supplied by the Provider is no longer available or suitable for the Resident’s requirements, and no such change, failure, interference, disruption, defect, unavailability, or unsuitability shall constitute an actual or constructive eviction, in whole or in part or in any way entitle Resident to any abatement of rent or in any way relieve Resident from any obligation under this Lease.</w:t>
      </w:r>
    </w:p>
    <w:p w:rsidR="000802F9" w:rsidRDefault="000802F9" w:rsidP="000802F9">
      <w:pPr>
        <w:pStyle w:val="NormalWeb"/>
        <w:numPr>
          <w:ilvl w:val="1"/>
          <w:numId w:val="1"/>
        </w:numPr>
        <w:spacing w:after="240"/>
        <w:ind w:left="360"/>
        <w:jc w:val="both"/>
      </w:pPr>
      <w:r>
        <w:rPr>
          <w:b/>
        </w:rPr>
        <w:t>RESIDENT RESPONSIBLE FOR EQUIPMENT DAMAGE</w:t>
      </w:r>
      <w:r>
        <w:t>.  Resident agrees to indemnify and hold Foundation harmless from and against any and all claims, demands, costs, expenses (including attorney fees) and causes of action arising out of, or in any way relating to, actions or inactions by Resident with respect to the Service, including, but not limited to, all amounts Foundation is required to pay to cover the costs of any such damage to Provider.</w:t>
      </w:r>
    </w:p>
    <w:p w:rsidR="000802F9" w:rsidRDefault="000802F9" w:rsidP="000802F9">
      <w:pPr>
        <w:pStyle w:val="NormalWeb"/>
        <w:numPr>
          <w:ilvl w:val="0"/>
          <w:numId w:val="1"/>
        </w:numPr>
        <w:spacing w:after="240"/>
        <w:jc w:val="both"/>
      </w:pPr>
      <w:r>
        <w:rPr>
          <w:b/>
        </w:rPr>
        <w:t>INTERNET ROUTERS PROHIBITED</w:t>
      </w:r>
      <w:r>
        <w:t>.  Resident shall not access the internet service with any device that further shares the internet service.</w:t>
      </w:r>
    </w:p>
    <w:p w:rsidR="000802F9" w:rsidRDefault="000802F9" w:rsidP="000802F9">
      <w:pPr>
        <w:pStyle w:val="NormalWeb"/>
        <w:numPr>
          <w:ilvl w:val="0"/>
          <w:numId w:val="1"/>
        </w:numPr>
        <w:spacing w:after="240"/>
        <w:jc w:val="both"/>
      </w:pPr>
      <w:r>
        <w:rPr>
          <w:b/>
        </w:rPr>
        <w:t>DEFAULT AND REENTRY</w:t>
      </w:r>
      <w:r>
        <w:t xml:space="preserve">:  Resident shall observe and perform all the covenants, conditions, and agreements herein.  If Resident defaults in the payment of rent or in the performance of any other condition, provision, or agreement herein contained, or if Resident shall become insolvent, or if bankruptcy, receivership or other insolvency proceedings shall be begun by, or against Resident, or if Resident shall abandon or vacate said premises before the end of the term, then said default shall be a breach of that term or provision and shall be deemed a total and unconditional forfeiture of this Lease, which shall allow Foundation to terminate the Lease and re-enter and repossess the premises.  Resident shall pay all deficiencies, including any expense incurred by such reletting, including, but not limited to, the cost of renting, altering and redecorating.   Foundation may relet </w:t>
      </w:r>
      <w:r>
        <w:lastRenderedPageBreak/>
        <w:t>the premises for the balance of Resident's unexpired Lease term or renewal period, or any portion thereof, or relet the premises beyond the unexpired Lease term, without releasing Resident from Resident's obligation hereunder to pay all deficiencies and expenses incurred by Foundation, including all unpaid rent, and all expenses for reletting, altering and redecorating.</w:t>
      </w:r>
      <w:r>
        <w:tab/>
      </w:r>
    </w:p>
    <w:p w:rsidR="000802F9" w:rsidRDefault="000802F9" w:rsidP="000802F9">
      <w:pPr>
        <w:pStyle w:val="NormalWeb"/>
        <w:numPr>
          <w:ilvl w:val="0"/>
          <w:numId w:val="1"/>
        </w:numPr>
        <w:spacing w:after="240"/>
        <w:jc w:val="both"/>
      </w:pPr>
      <w:r>
        <w:rPr>
          <w:b/>
        </w:rPr>
        <w:t>REMEDIES CUMULATIVE</w:t>
      </w:r>
      <w:r>
        <w:t>:  Except where the remedies set forth herein are limited or specific, it is agreed by the parties that each and every one of the rights, remedies, and benefits provided under this Lease shall be cumulative, and shall not be exclusive of any other rights, remedies, and benefits allowed under Michigan law.</w:t>
      </w:r>
    </w:p>
    <w:p w:rsidR="000802F9" w:rsidRDefault="000802F9" w:rsidP="000802F9">
      <w:pPr>
        <w:pStyle w:val="NormalWeb"/>
        <w:numPr>
          <w:ilvl w:val="0"/>
          <w:numId w:val="1"/>
        </w:numPr>
        <w:spacing w:after="240"/>
        <w:jc w:val="both"/>
      </w:pPr>
      <w:r>
        <w:rPr>
          <w:b/>
        </w:rPr>
        <w:t>ADJUSTMENTS</w:t>
      </w:r>
      <w:r>
        <w:t>:  As authorized by the Truth in Renting Act (MCLA §554.631 to §554.641), The  Foundation shall have the right to make the following unilateral adjustments in this Lease, without the agreement of Resident and upon written notice to Resident of not less than thirty (30) days:</w:t>
      </w:r>
    </w:p>
    <w:p w:rsidR="000802F9" w:rsidRDefault="000802F9" w:rsidP="000802F9">
      <w:pPr>
        <w:widowControl/>
        <w:tabs>
          <w:tab w:val="left" w:pos="720"/>
          <w:tab w:val="left" w:pos="1440"/>
        </w:tabs>
        <w:ind w:left="1440" w:hanging="720"/>
        <w:jc w:val="both"/>
        <w:rPr>
          <w:sz w:val="24"/>
          <w:szCs w:val="24"/>
        </w:rPr>
      </w:pPr>
      <w:r>
        <w:rPr>
          <w:sz w:val="24"/>
          <w:szCs w:val="24"/>
        </w:rPr>
        <w:t>a.</w:t>
      </w:r>
      <w:r>
        <w:rPr>
          <w:sz w:val="24"/>
          <w:szCs w:val="24"/>
        </w:rPr>
        <w:tab/>
        <w:t>Changes required by federal, state or local law or rule or regulation;</w:t>
      </w:r>
    </w:p>
    <w:p w:rsidR="000802F9" w:rsidRDefault="000802F9" w:rsidP="000802F9">
      <w:pPr>
        <w:widowControl/>
        <w:tabs>
          <w:tab w:val="left" w:pos="720"/>
          <w:tab w:val="left" w:pos="1440"/>
        </w:tabs>
        <w:ind w:left="1440" w:hanging="720"/>
        <w:jc w:val="both"/>
        <w:rPr>
          <w:sz w:val="24"/>
          <w:szCs w:val="24"/>
        </w:rPr>
      </w:pPr>
    </w:p>
    <w:p w:rsidR="000802F9" w:rsidRDefault="000802F9" w:rsidP="000802F9">
      <w:pPr>
        <w:widowControl/>
        <w:tabs>
          <w:tab w:val="left" w:pos="720"/>
          <w:tab w:val="left" w:pos="1440"/>
        </w:tabs>
        <w:ind w:left="1440" w:hanging="720"/>
        <w:jc w:val="both"/>
        <w:rPr>
          <w:sz w:val="24"/>
          <w:szCs w:val="24"/>
        </w:rPr>
      </w:pPr>
      <w:r>
        <w:rPr>
          <w:sz w:val="24"/>
          <w:szCs w:val="24"/>
        </w:rPr>
        <w:t>b.</w:t>
      </w:r>
      <w:r>
        <w:rPr>
          <w:sz w:val="24"/>
          <w:szCs w:val="24"/>
        </w:rPr>
        <w:tab/>
        <w:t>Changes in rules relating to the premises which are required to protect the physical health, safety or peaceful enjoyment of the Residents and guests in the apartment community;</w:t>
      </w:r>
    </w:p>
    <w:p w:rsidR="000802F9" w:rsidRDefault="000802F9" w:rsidP="000802F9">
      <w:pPr>
        <w:widowControl/>
        <w:tabs>
          <w:tab w:val="left" w:pos="1440"/>
        </w:tabs>
        <w:ind w:left="1440"/>
        <w:jc w:val="both"/>
        <w:rPr>
          <w:sz w:val="24"/>
          <w:szCs w:val="24"/>
        </w:rPr>
      </w:pPr>
    </w:p>
    <w:p w:rsidR="000802F9" w:rsidRDefault="000802F9" w:rsidP="000802F9">
      <w:pPr>
        <w:widowControl/>
        <w:tabs>
          <w:tab w:val="left" w:pos="720"/>
          <w:tab w:val="left" w:pos="1440"/>
        </w:tabs>
        <w:ind w:left="1440" w:hanging="720"/>
        <w:jc w:val="both"/>
        <w:rPr>
          <w:sz w:val="24"/>
          <w:szCs w:val="24"/>
        </w:rPr>
      </w:pPr>
      <w:r>
        <w:rPr>
          <w:sz w:val="24"/>
          <w:szCs w:val="24"/>
        </w:rPr>
        <w:t>c.</w:t>
      </w:r>
      <w:r>
        <w:rPr>
          <w:sz w:val="24"/>
          <w:szCs w:val="24"/>
        </w:rPr>
        <w:tab/>
        <w:t xml:space="preserve">Changes in the amount of rent to cover additional costs in operating the premises incurred by The  Foundation because of increases in ad valorem property taxes, charges for the electricity, heating fuel, water or sanitary sewer services consumed at the premises or increases in premiums paid for liability, fire, or workmen's compensation insurance.  </w:t>
      </w:r>
    </w:p>
    <w:p w:rsidR="000802F9" w:rsidRDefault="000802F9" w:rsidP="000802F9">
      <w:pPr>
        <w:widowControl/>
        <w:jc w:val="both"/>
        <w:rPr>
          <w:sz w:val="24"/>
          <w:szCs w:val="24"/>
        </w:rPr>
      </w:pPr>
    </w:p>
    <w:p w:rsidR="000802F9" w:rsidRDefault="000802F9" w:rsidP="000802F9">
      <w:pPr>
        <w:pStyle w:val="NormalWeb"/>
        <w:numPr>
          <w:ilvl w:val="0"/>
          <w:numId w:val="1"/>
        </w:numPr>
        <w:spacing w:after="240"/>
        <w:jc w:val="both"/>
      </w:pPr>
      <w:r>
        <w:rPr>
          <w:b/>
        </w:rPr>
        <w:t>CREDIT &amp; CHARACTER REFERENCES</w:t>
      </w:r>
      <w:r>
        <w:t>: Resident expressly authorizes Foundation or Foundation’s agent (including a collection agency) to obtain Resident’s consumer credit report, which Foundation or Foundation’s agent may use if attempting to collect past due rent payments, late fees, or other charges from Resident both during the term of this Lease and thereafter.  This Lease is subject to a check of Resident’s credit and character references and approval by the Foundation of the same.  Foundation shall then have the option of voiding this Lease for any reason within seven (7) days after signing this Lease, based upon the Foundation’s disapproval of any portion of Resident’s credit report or any other information submitted to the Foundation by Resident.</w:t>
      </w:r>
    </w:p>
    <w:p w:rsidR="000802F9" w:rsidRDefault="000802F9" w:rsidP="000802F9">
      <w:pPr>
        <w:pStyle w:val="ListParagraph"/>
        <w:numPr>
          <w:ilvl w:val="0"/>
          <w:numId w:val="1"/>
        </w:numPr>
        <w:ind w:left="0"/>
        <w:rPr>
          <w:sz w:val="24"/>
          <w:szCs w:val="24"/>
        </w:rPr>
      </w:pPr>
      <w:r>
        <w:rPr>
          <w:b/>
          <w:sz w:val="24"/>
          <w:szCs w:val="24"/>
        </w:rPr>
        <w:t>FALSE REPRESENTATIONS</w:t>
      </w:r>
      <w:r>
        <w:rPr>
          <w:sz w:val="24"/>
          <w:szCs w:val="24"/>
        </w:rPr>
        <w:t>:  If any representations of Resident prove to have been false or misleading in any material way when making application for this Lease, then the Foundation may declare this Lease void and may take possession of the premises.</w:t>
      </w:r>
    </w:p>
    <w:p w:rsidR="000802F9" w:rsidRDefault="000802F9" w:rsidP="000802F9">
      <w:pPr>
        <w:widowControl/>
        <w:suppressAutoHyphens w:val="0"/>
        <w:autoSpaceDN/>
        <w:textAlignment w:val="auto"/>
      </w:pPr>
    </w:p>
    <w:p w:rsidR="000802F9" w:rsidRDefault="000802F9" w:rsidP="000802F9">
      <w:pPr>
        <w:pStyle w:val="NormalWeb"/>
        <w:numPr>
          <w:ilvl w:val="0"/>
          <w:numId w:val="1"/>
        </w:numPr>
        <w:spacing w:after="240"/>
        <w:jc w:val="both"/>
      </w:pPr>
      <w:r>
        <w:rPr>
          <w:b/>
        </w:rPr>
        <w:t>PARENTAL GUARANTEE</w:t>
      </w:r>
      <w:r>
        <w:t xml:space="preserve">: This Lease Agreement shall be guaranteed by one parent or legal guardian of the undersigned Resident, as evidenced by signature below. </w:t>
      </w:r>
    </w:p>
    <w:p w:rsidR="000802F9" w:rsidRDefault="000802F9" w:rsidP="000802F9">
      <w:pPr>
        <w:pStyle w:val="NormalWeb"/>
        <w:numPr>
          <w:ilvl w:val="0"/>
          <w:numId w:val="1"/>
        </w:numPr>
        <w:spacing w:after="240"/>
        <w:jc w:val="both"/>
      </w:pPr>
      <w:r>
        <w:rPr>
          <w:b/>
        </w:rPr>
        <w:t>INDEMNITY</w:t>
      </w:r>
      <w:r>
        <w:t>: Resident agrees to be responsible for and to hold Foundation harmless from any damages (includes break-ins) to the Residence furnishings, outside door/windows, siding, roof, common areas, the buildings within which the Unit is located, any property on which the Residence is located, and all personal property of Resident, without regard to any insurance purchased by the Foundation and whether or not occasioned by or the result in whole or in part of the negligence or fault, whether sole, concurrent, joint, active, passive, or gross, of Resident, his or her guests, invitees, or agents, except that the Resident will have no liability to Foundation for any such claim if the liability is the result of the intentional act of Foundation.</w:t>
      </w:r>
    </w:p>
    <w:p w:rsidR="000802F9" w:rsidRDefault="000802F9" w:rsidP="000802F9">
      <w:pPr>
        <w:pStyle w:val="NormalWeb"/>
        <w:numPr>
          <w:ilvl w:val="0"/>
          <w:numId w:val="1"/>
        </w:numPr>
        <w:spacing w:after="240"/>
        <w:jc w:val="both"/>
      </w:pPr>
      <w:r>
        <w:rPr>
          <w:b/>
        </w:rPr>
        <w:t xml:space="preserve">TRUTH IN RENTING ACT (MCL 554.631 TO 554.641) AND OTHER STATUTORY PROVISIONS:  </w:t>
      </w:r>
      <w:r>
        <w:t xml:space="preserve">The Foundation and Resident specifically agree that this Lease shall not and is not intended to violate or waive any of the provisions of the Truth in Renting Act (MCL 554.631 to 554.641), or any of the statutes referred to in the Truth in Renting Act relating to fitness, habitability, security deposits, civil rights of handicapped </w:t>
      </w:r>
      <w:r>
        <w:lastRenderedPageBreak/>
        <w:t>persons, and consumer protection.  If, however, any provision of this Lease does, in fact, violate or waive any of the above statutes, then such provision shall be null and void but the other provisions of this Lease shall continue to remain in full force and effect.</w:t>
      </w:r>
    </w:p>
    <w:p w:rsidR="000802F9" w:rsidRDefault="000802F9" w:rsidP="000802F9">
      <w:pPr>
        <w:pStyle w:val="NormalWeb"/>
        <w:numPr>
          <w:ilvl w:val="0"/>
          <w:numId w:val="1"/>
        </w:numPr>
        <w:spacing w:after="240"/>
        <w:jc w:val="both"/>
      </w:pPr>
      <w:r>
        <w:rPr>
          <w:b/>
        </w:rPr>
        <w:t xml:space="preserve">KEYS:  </w:t>
      </w:r>
      <w:r>
        <w:t>Resident shall not add or change locks in the premises, nor any chain or safety device, of any nature, without the written consent of the Foundation.  In the event that Resident fails to comply with this paragraph, the same shall be a default under this Lease, and in addition thereto, the Foundation shall have the right to remove and replace, at Resident's cost, all additional locks, chains, safety devices, or any alterations Resident has made to the premises, which said amount shall be paid to the Foundation within ten (10) days after the Foundation has provided Resident with all invoices and documents related to the same.  All lost keys will subject Resident to a charge of $30 for any replacement.</w:t>
      </w:r>
    </w:p>
    <w:p w:rsidR="000802F9" w:rsidRDefault="000802F9" w:rsidP="000802F9">
      <w:pPr>
        <w:pStyle w:val="NormalWeb"/>
        <w:numPr>
          <w:ilvl w:val="0"/>
          <w:numId w:val="1"/>
        </w:numPr>
        <w:spacing w:after="240"/>
        <w:jc w:val="both"/>
      </w:pPr>
      <w:r>
        <w:rPr>
          <w:b/>
        </w:rPr>
        <w:t>RESIDENT MOVING</w:t>
      </w:r>
      <w:r>
        <w:t>:  Resident acknowledges and understands that unless expressly authorized in writing by the Foundation, this Lease cannot be cancelled or terminated for any reason whatsoever, including, but not limited to, for reason that Resident has moved because of a change in school, job or other circumstance.  In such case, Resident shall still be liable for rent through the balance of the Lease, together with all other costs and expenses permitted under this Lease and by Michigan law.</w:t>
      </w:r>
    </w:p>
    <w:p w:rsidR="000802F9" w:rsidRDefault="000802F9" w:rsidP="000802F9">
      <w:pPr>
        <w:pStyle w:val="NormalWeb"/>
        <w:numPr>
          <w:ilvl w:val="0"/>
          <w:numId w:val="1"/>
        </w:numPr>
        <w:spacing w:after="240"/>
        <w:jc w:val="both"/>
      </w:pPr>
      <w:r>
        <w:rPr>
          <w:b/>
        </w:rPr>
        <w:t>DRAFTING</w:t>
      </w:r>
      <w:r>
        <w:t>:  Although this Lease was drafted by the attorneys for the Foundation, none of the provisions hereof shall be interpreted against it by reason that the Lease was drafted by its legal counsel.  It is further acknowledged by both parties that this Lease has been executed after negotiation, and the opportunity of both parties to have same reviewed and revised by legal counsel.</w:t>
      </w:r>
    </w:p>
    <w:p w:rsidR="000802F9" w:rsidRDefault="000802F9" w:rsidP="000802F9">
      <w:pPr>
        <w:pStyle w:val="NormalWeb"/>
        <w:numPr>
          <w:ilvl w:val="0"/>
          <w:numId w:val="1"/>
        </w:numPr>
        <w:spacing w:after="240"/>
        <w:jc w:val="both"/>
      </w:pPr>
      <w:r>
        <w:rPr>
          <w:b/>
        </w:rPr>
        <w:t>WAIVER</w:t>
      </w:r>
      <w:r>
        <w:t>:  The failure of either party to complain of any act or omission on the part of the other party, no matter how long the same may continue, shall not be deemed to be a waiver by such party of any of its rights hereunder.  No waiver by any party at any time, expressed or implied, of any breach of any provision of this Lease shall be deemed a waiver of a breach of any other provision of this Lease or a consent to any subsequent breach of the same or any other provision.  If any action by any party shall require the consent or approval of another party, such consent or approval of such action on any one occasion shall not be deemed a consent to or approval of said action on any subsequent occasion.</w:t>
      </w:r>
    </w:p>
    <w:p w:rsidR="000802F9" w:rsidRDefault="000802F9" w:rsidP="000802F9">
      <w:pPr>
        <w:pStyle w:val="NormalWeb"/>
        <w:numPr>
          <w:ilvl w:val="0"/>
          <w:numId w:val="1"/>
        </w:numPr>
        <w:spacing w:after="240"/>
        <w:jc w:val="both"/>
      </w:pPr>
      <w:r>
        <w:rPr>
          <w:b/>
        </w:rPr>
        <w:t>GOVERNING LAW</w:t>
      </w:r>
      <w:r>
        <w:t>:  This Agreement shall be governed by the laws of the State of Michigan.</w:t>
      </w:r>
    </w:p>
    <w:p w:rsidR="000802F9" w:rsidRDefault="000802F9" w:rsidP="000802F9">
      <w:pPr>
        <w:pStyle w:val="NormalWeb"/>
        <w:numPr>
          <w:ilvl w:val="0"/>
          <w:numId w:val="1"/>
        </w:numPr>
        <w:spacing w:after="240"/>
        <w:jc w:val="both"/>
      </w:pPr>
      <w:r>
        <w:rPr>
          <w:b/>
        </w:rPr>
        <w:t>VENUE</w:t>
      </w:r>
      <w:r>
        <w:t>: The appropriate court in Kalamazoo County, Michigan, shall be the venue for any and all actions brought under this Lease.  Resident agrees to comply with all state, city and local statutes, laws, ordinances, rules or regulations relating to the Residence.</w:t>
      </w:r>
    </w:p>
    <w:p w:rsidR="000802F9" w:rsidRDefault="000802F9" w:rsidP="000802F9">
      <w:pPr>
        <w:pStyle w:val="NormalWeb"/>
        <w:numPr>
          <w:ilvl w:val="0"/>
          <w:numId w:val="1"/>
        </w:numPr>
        <w:spacing w:after="240"/>
        <w:jc w:val="both"/>
      </w:pPr>
      <w:r>
        <w:rPr>
          <w:b/>
        </w:rPr>
        <w:t>COUNTERPARTS</w:t>
      </w:r>
      <w:r>
        <w:t>: Execution of a facsimile counterpart of this Lease shall be deemed execution of the original Lease.  Facsimile transmission of an executed copy of this Lease shall constitute acceptance of this Lease.</w:t>
      </w:r>
    </w:p>
    <w:p w:rsidR="000802F9" w:rsidRDefault="000802F9" w:rsidP="000802F9">
      <w:pPr>
        <w:pStyle w:val="NormalWeb"/>
        <w:numPr>
          <w:ilvl w:val="0"/>
          <w:numId w:val="1"/>
        </w:numPr>
        <w:spacing w:after="240"/>
        <w:jc w:val="both"/>
      </w:pPr>
      <w:r>
        <w:rPr>
          <w:b/>
        </w:rPr>
        <w:t>SEVERABILITY</w:t>
      </w:r>
      <w:r>
        <w:t xml:space="preserve">: If any part of this Lease is determined to be illegal, unconscionable, or unenforceable, that portion of the Lease shall be stricken and the remainder shall continue in full force and effect. </w:t>
      </w:r>
    </w:p>
    <w:p w:rsidR="000802F9" w:rsidRDefault="000802F9" w:rsidP="000802F9">
      <w:pPr>
        <w:pStyle w:val="NormalWeb"/>
        <w:numPr>
          <w:ilvl w:val="0"/>
          <w:numId w:val="1"/>
        </w:numPr>
        <w:spacing w:after="240"/>
        <w:jc w:val="both"/>
      </w:pPr>
      <w:r>
        <w:rPr>
          <w:b/>
        </w:rPr>
        <w:t>ENTIRE AGREEMENT</w:t>
      </w:r>
      <w:r>
        <w:t>: This Lease constitutes the entire agreement between the parties with respect to the matters set forth herein, and there are no representations, warranties, covenants, or obligations except as set forth herein.  This Lease supersedes all prior and contemporaneous agreements, understandings, negotiations, statements, and discussions, written or oral, of the parties hereto, relating to the matters contemplated by this Lease.</w:t>
      </w:r>
    </w:p>
    <w:p w:rsidR="000802F9" w:rsidRDefault="000802F9" w:rsidP="000802F9">
      <w:pPr>
        <w:pStyle w:val="NormalWeb"/>
      </w:pPr>
      <w:r>
        <w:t>This Lease Agreement is made effective ___________________, ______.</w:t>
      </w:r>
    </w:p>
    <w:p w:rsidR="000802F9" w:rsidRDefault="000802F9" w:rsidP="000802F9">
      <w:pPr>
        <w:pStyle w:val="NormalWeb"/>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1496"/>
        <w:gridCol w:w="5138"/>
      </w:tblGrid>
      <w:tr w:rsidR="000802F9" w:rsidTr="00741A55">
        <w:tc>
          <w:tcPr>
            <w:tcW w:w="4248" w:type="dxa"/>
          </w:tcPr>
          <w:p w:rsidR="000802F9" w:rsidRDefault="000802F9" w:rsidP="00741A55">
            <w:pPr>
              <w:pStyle w:val="NormalWeb"/>
              <w:rPr>
                <w:b/>
              </w:rPr>
            </w:pPr>
            <w:r>
              <w:rPr>
                <w:b/>
              </w:rPr>
              <w:lastRenderedPageBreak/>
              <w:t>Resident</w:t>
            </w:r>
          </w:p>
        </w:tc>
        <w:tc>
          <w:tcPr>
            <w:tcW w:w="1530" w:type="dxa"/>
          </w:tcPr>
          <w:p w:rsidR="000802F9" w:rsidRDefault="000802F9" w:rsidP="00741A55">
            <w:pPr>
              <w:pStyle w:val="NormalWeb"/>
              <w:rPr>
                <w:b/>
              </w:rPr>
            </w:pPr>
          </w:p>
        </w:tc>
        <w:tc>
          <w:tcPr>
            <w:tcW w:w="5238" w:type="dxa"/>
          </w:tcPr>
          <w:p w:rsidR="000802F9" w:rsidRDefault="000802F9" w:rsidP="00741A55">
            <w:pPr>
              <w:pStyle w:val="NormalWeb"/>
              <w:rPr>
                <w:b/>
              </w:rPr>
            </w:pPr>
            <w:r>
              <w:rPr>
                <w:b/>
              </w:rPr>
              <w:t>Foundation</w:t>
            </w:r>
          </w:p>
        </w:tc>
      </w:tr>
      <w:tr w:rsidR="000802F9" w:rsidTr="00741A55">
        <w:tc>
          <w:tcPr>
            <w:tcW w:w="4248" w:type="dxa"/>
            <w:tcBorders>
              <w:bottom w:val="single" w:sz="4" w:space="0" w:color="auto"/>
            </w:tcBorders>
          </w:tcPr>
          <w:p w:rsidR="000802F9" w:rsidRDefault="000802F9" w:rsidP="00741A55">
            <w:pPr>
              <w:pStyle w:val="NormalWeb"/>
              <w:rPr>
                <w:b/>
              </w:rPr>
            </w:pPr>
          </w:p>
        </w:tc>
        <w:tc>
          <w:tcPr>
            <w:tcW w:w="1530" w:type="dxa"/>
          </w:tcPr>
          <w:p w:rsidR="000802F9" w:rsidRDefault="000802F9" w:rsidP="00741A55">
            <w:pPr>
              <w:pStyle w:val="NormalWeb"/>
              <w:rPr>
                <w:b/>
              </w:rPr>
            </w:pPr>
          </w:p>
        </w:tc>
        <w:tc>
          <w:tcPr>
            <w:tcW w:w="5238" w:type="dxa"/>
            <w:tcBorders>
              <w:bottom w:val="single" w:sz="4" w:space="0" w:color="auto"/>
            </w:tcBorders>
          </w:tcPr>
          <w:p w:rsidR="000802F9" w:rsidRDefault="000802F9" w:rsidP="00741A55">
            <w:pPr>
              <w:pStyle w:val="NormalWeb"/>
              <w:rPr>
                <w:b/>
              </w:rPr>
            </w:pPr>
          </w:p>
          <w:p w:rsidR="000802F9" w:rsidRDefault="000802F9" w:rsidP="00741A55">
            <w:pPr>
              <w:pStyle w:val="NormalWeb"/>
              <w:rPr>
                <w:b/>
              </w:rPr>
            </w:pPr>
          </w:p>
        </w:tc>
      </w:tr>
      <w:tr w:rsidR="000802F9" w:rsidTr="00741A55">
        <w:tc>
          <w:tcPr>
            <w:tcW w:w="4248" w:type="dxa"/>
            <w:tcBorders>
              <w:top w:val="single" w:sz="4" w:space="0" w:color="auto"/>
            </w:tcBorders>
          </w:tcPr>
          <w:p w:rsidR="000802F9" w:rsidRDefault="000802F9" w:rsidP="00741A55">
            <w:pPr>
              <w:pStyle w:val="NormalWeb"/>
            </w:pPr>
            <w:r>
              <w:t>Name:</w:t>
            </w:r>
          </w:p>
        </w:tc>
        <w:tc>
          <w:tcPr>
            <w:tcW w:w="1530" w:type="dxa"/>
          </w:tcPr>
          <w:p w:rsidR="000802F9" w:rsidRDefault="000802F9" w:rsidP="00741A55">
            <w:pPr>
              <w:pStyle w:val="NormalWeb"/>
              <w:rPr>
                <w:b/>
              </w:rPr>
            </w:pPr>
          </w:p>
        </w:tc>
        <w:tc>
          <w:tcPr>
            <w:tcW w:w="5238" w:type="dxa"/>
            <w:tcBorders>
              <w:top w:val="single" w:sz="4" w:space="0" w:color="auto"/>
            </w:tcBorders>
          </w:tcPr>
          <w:p w:rsidR="000802F9" w:rsidRDefault="000802F9" w:rsidP="00741A55">
            <w:pPr>
              <w:pStyle w:val="NormalWeb"/>
            </w:pPr>
            <w:r>
              <w:t>Name:</w:t>
            </w:r>
          </w:p>
          <w:p w:rsidR="000802F9" w:rsidRDefault="000802F9" w:rsidP="00741A55">
            <w:pPr>
              <w:pStyle w:val="NormalWeb"/>
            </w:pPr>
            <w:r>
              <w:t>Its:</w:t>
            </w:r>
          </w:p>
        </w:tc>
      </w:tr>
      <w:tr w:rsidR="000802F9" w:rsidTr="00741A55">
        <w:tc>
          <w:tcPr>
            <w:tcW w:w="4248" w:type="dxa"/>
            <w:tcBorders>
              <w:bottom w:val="single" w:sz="4" w:space="0" w:color="auto"/>
            </w:tcBorders>
          </w:tcPr>
          <w:p w:rsidR="000802F9" w:rsidRDefault="000802F9" w:rsidP="00741A55">
            <w:pPr>
              <w:pStyle w:val="NormalWeb"/>
            </w:pPr>
          </w:p>
          <w:p w:rsidR="000802F9" w:rsidRDefault="000802F9" w:rsidP="00741A55">
            <w:pPr>
              <w:pStyle w:val="NormalWeb"/>
            </w:pPr>
          </w:p>
        </w:tc>
        <w:tc>
          <w:tcPr>
            <w:tcW w:w="1530" w:type="dxa"/>
          </w:tcPr>
          <w:p w:rsidR="000802F9" w:rsidRDefault="000802F9" w:rsidP="00741A55">
            <w:pPr>
              <w:pStyle w:val="NormalWeb"/>
              <w:rPr>
                <w:b/>
              </w:rPr>
            </w:pPr>
          </w:p>
        </w:tc>
        <w:tc>
          <w:tcPr>
            <w:tcW w:w="5238" w:type="dxa"/>
            <w:tcBorders>
              <w:bottom w:val="single" w:sz="4" w:space="0" w:color="auto"/>
            </w:tcBorders>
          </w:tcPr>
          <w:p w:rsidR="000802F9" w:rsidRDefault="000802F9" w:rsidP="00741A55">
            <w:pPr>
              <w:pStyle w:val="NormalWeb"/>
            </w:pPr>
          </w:p>
        </w:tc>
      </w:tr>
      <w:tr w:rsidR="000802F9" w:rsidTr="00741A55">
        <w:tc>
          <w:tcPr>
            <w:tcW w:w="4248" w:type="dxa"/>
            <w:tcBorders>
              <w:top w:val="single" w:sz="4" w:space="0" w:color="auto"/>
            </w:tcBorders>
          </w:tcPr>
          <w:p w:rsidR="000802F9" w:rsidRDefault="000802F9" w:rsidP="00741A55">
            <w:pPr>
              <w:pStyle w:val="NormalWeb"/>
            </w:pPr>
            <w:r>
              <w:t>Witness</w:t>
            </w:r>
          </w:p>
        </w:tc>
        <w:tc>
          <w:tcPr>
            <w:tcW w:w="1530" w:type="dxa"/>
          </w:tcPr>
          <w:p w:rsidR="000802F9" w:rsidRDefault="000802F9" w:rsidP="00741A55">
            <w:pPr>
              <w:pStyle w:val="NormalWeb"/>
              <w:rPr>
                <w:b/>
              </w:rPr>
            </w:pPr>
          </w:p>
        </w:tc>
        <w:tc>
          <w:tcPr>
            <w:tcW w:w="5238" w:type="dxa"/>
            <w:tcBorders>
              <w:top w:val="single" w:sz="4" w:space="0" w:color="auto"/>
            </w:tcBorders>
          </w:tcPr>
          <w:p w:rsidR="000802F9" w:rsidRDefault="000802F9" w:rsidP="00741A55">
            <w:pPr>
              <w:pStyle w:val="NormalWeb"/>
            </w:pPr>
            <w:r>
              <w:t>Witness</w:t>
            </w:r>
          </w:p>
        </w:tc>
      </w:tr>
    </w:tbl>
    <w:p w:rsidR="000802F9" w:rsidRPr="00AA72E3" w:rsidRDefault="000802F9" w:rsidP="000802F9">
      <w:pPr>
        <w:widowControl/>
        <w:suppressAutoHyphens w:val="0"/>
        <w:autoSpaceDE w:val="0"/>
        <w:adjustRightInd w:val="0"/>
        <w:textAlignment w:val="auto"/>
        <w:rPr>
          <w:kern w:val="0"/>
          <w:sz w:val="24"/>
          <w:szCs w:val="24"/>
          <w:u w:val="single"/>
        </w:rPr>
      </w:pPr>
      <w:r>
        <w:rPr>
          <w:kern w:val="0"/>
          <w:sz w:val="24"/>
          <w:szCs w:val="24"/>
        </w:rPr>
        <w:br w:type="page"/>
      </w:r>
    </w:p>
    <w:p w:rsidR="000802F9" w:rsidRDefault="000802F9" w:rsidP="000802F9">
      <w:pPr>
        <w:widowControl/>
        <w:suppressAutoHyphens w:val="0"/>
        <w:autoSpaceDE w:val="0"/>
        <w:adjustRightInd w:val="0"/>
        <w:textAlignment w:val="auto"/>
        <w:rPr>
          <w:b/>
          <w:kern w:val="0"/>
          <w:sz w:val="24"/>
          <w:szCs w:val="24"/>
          <w:u w:val="single"/>
        </w:rPr>
      </w:pPr>
      <w:r>
        <w:rPr>
          <w:b/>
          <w:kern w:val="0"/>
          <w:sz w:val="24"/>
          <w:szCs w:val="24"/>
          <w:u w:val="single"/>
        </w:rPr>
        <w:lastRenderedPageBreak/>
        <w:t>Parental Guarantee For Lease and/or Damage</w:t>
      </w:r>
    </w:p>
    <w:p w:rsidR="000802F9" w:rsidRDefault="000802F9" w:rsidP="000802F9">
      <w:pPr>
        <w:widowControl/>
        <w:suppressAutoHyphens w:val="0"/>
        <w:autoSpaceDE w:val="0"/>
        <w:adjustRightInd w:val="0"/>
        <w:textAlignment w:val="auto"/>
        <w:rPr>
          <w:b/>
          <w:kern w:val="0"/>
          <w:sz w:val="24"/>
          <w:szCs w:val="24"/>
          <w:u w:val="single"/>
        </w:rPr>
      </w:pPr>
    </w:p>
    <w:p w:rsidR="000802F9" w:rsidRDefault="000802F9" w:rsidP="000802F9">
      <w:pPr>
        <w:jc w:val="both"/>
        <w:rPr>
          <w:kern w:val="0"/>
          <w:sz w:val="24"/>
          <w:szCs w:val="24"/>
        </w:rPr>
      </w:pPr>
      <w:r>
        <w:rPr>
          <w:kern w:val="0"/>
          <w:sz w:val="24"/>
          <w:szCs w:val="24"/>
        </w:rPr>
        <w:t>I the undersigned, do hereby guarantee for the Unit herein listed above, full and timely payment of the monthly rent stated herein, and for the loss, breakage, or damage to the Residence’s furnishings, fixtures, walls, ceilings, floor coverings, and appliances other than that caused by normal wear and tear, and for any cleaning required at the end of tenancy. I further agree to pay any sums required within ten (10) days of receipt of the invoice(s), as well as reasonable attorney fees and court costs required in the collection of any such sums. In addition, I certify that I am the parent or legal guardian of the Resident named herein.</w:t>
      </w:r>
    </w:p>
    <w:p w:rsidR="000802F9" w:rsidRDefault="000802F9" w:rsidP="000802F9">
      <w:pPr>
        <w:rPr>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068"/>
      </w:tblGrid>
      <w:tr w:rsidR="000802F9" w:rsidTr="00741A55">
        <w:tc>
          <w:tcPr>
            <w:tcW w:w="4428" w:type="dxa"/>
          </w:tcPr>
          <w:p w:rsidR="000802F9" w:rsidRDefault="000802F9" w:rsidP="00741A55">
            <w:pPr>
              <w:pStyle w:val="NormalWeb"/>
              <w:rPr>
                <w:b/>
              </w:rPr>
            </w:pPr>
            <w:r>
              <w:rPr>
                <w:b/>
              </w:rPr>
              <w:t>Parent/Legal Guardian</w:t>
            </w:r>
          </w:p>
        </w:tc>
        <w:tc>
          <w:tcPr>
            <w:tcW w:w="4068" w:type="dxa"/>
          </w:tcPr>
          <w:p w:rsidR="000802F9" w:rsidRDefault="000802F9" w:rsidP="00741A55">
            <w:pPr>
              <w:pStyle w:val="NormalWeb"/>
              <w:rPr>
                <w:b/>
              </w:rPr>
            </w:pPr>
          </w:p>
        </w:tc>
      </w:tr>
      <w:tr w:rsidR="000802F9" w:rsidTr="00741A55">
        <w:tc>
          <w:tcPr>
            <w:tcW w:w="4428" w:type="dxa"/>
            <w:tcBorders>
              <w:bottom w:val="single" w:sz="4" w:space="0" w:color="auto"/>
            </w:tcBorders>
          </w:tcPr>
          <w:p w:rsidR="000802F9" w:rsidRDefault="000802F9" w:rsidP="00741A55">
            <w:pPr>
              <w:pStyle w:val="NormalWeb"/>
              <w:rPr>
                <w:b/>
              </w:rPr>
            </w:pPr>
          </w:p>
          <w:p w:rsidR="000802F9" w:rsidRDefault="000802F9" w:rsidP="00741A55">
            <w:pPr>
              <w:pStyle w:val="NormalWeb"/>
              <w:rPr>
                <w:b/>
              </w:rPr>
            </w:pPr>
          </w:p>
        </w:tc>
        <w:tc>
          <w:tcPr>
            <w:tcW w:w="4068" w:type="dxa"/>
          </w:tcPr>
          <w:p w:rsidR="000802F9" w:rsidRDefault="000802F9" w:rsidP="00741A55">
            <w:pPr>
              <w:pStyle w:val="NormalWeb"/>
              <w:rPr>
                <w:b/>
              </w:rPr>
            </w:pPr>
          </w:p>
          <w:p w:rsidR="000802F9" w:rsidRDefault="000802F9" w:rsidP="00741A55">
            <w:pPr>
              <w:pStyle w:val="NormalWeb"/>
            </w:pPr>
            <w:r>
              <w:rPr>
                <w:b/>
              </w:rPr>
              <w:t xml:space="preserve">   </w:t>
            </w:r>
            <w:r>
              <w:t>Date: ________________________</w:t>
            </w:r>
          </w:p>
        </w:tc>
      </w:tr>
      <w:tr w:rsidR="000802F9" w:rsidTr="00741A55">
        <w:tc>
          <w:tcPr>
            <w:tcW w:w="4428" w:type="dxa"/>
            <w:tcBorders>
              <w:top w:val="single" w:sz="4" w:space="0" w:color="auto"/>
            </w:tcBorders>
          </w:tcPr>
          <w:p w:rsidR="000802F9" w:rsidRDefault="000802F9" w:rsidP="00741A55">
            <w:pPr>
              <w:pStyle w:val="NormalWeb"/>
            </w:pPr>
            <w:r>
              <w:t>Name:</w:t>
            </w:r>
          </w:p>
        </w:tc>
        <w:tc>
          <w:tcPr>
            <w:tcW w:w="4068" w:type="dxa"/>
          </w:tcPr>
          <w:p w:rsidR="000802F9" w:rsidRDefault="000802F9" w:rsidP="00741A55">
            <w:pPr>
              <w:pStyle w:val="NormalWeb"/>
            </w:pPr>
          </w:p>
        </w:tc>
      </w:tr>
      <w:tr w:rsidR="000802F9" w:rsidTr="00741A55">
        <w:tc>
          <w:tcPr>
            <w:tcW w:w="4428" w:type="dxa"/>
            <w:tcBorders>
              <w:bottom w:val="single" w:sz="4" w:space="0" w:color="auto"/>
            </w:tcBorders>
          </w:tcPr>
          <w:p w:rsidR="000802F9" w:rsidRDefault="000802F9" w:rsidP="00741A55">
            <w:pPr>
              <w:pStyle w:val="NormalWeb"/>
            </w:pPr>
          </w:p>
          <w:p w:rsidR="000802F9" w:rsidRDefault="000802F9" w:rsidP="00741A55">
            <w:pPr>
              <w:pStyle w:val="NormalWeb"/>
            </w:pPr>
          </w:p>
        </w:tc>
        <w:tc>
          <w:tcPr>
            <w:tcW w:w="4068" w:type="dxa"/>
          </w:tcPr>
          <w:p w:rsidR="000802F9" w:rsidRDefault="000802F9" w:rsidP="00741A55">
            <w:pPr>
              <w:pStyle w:val="NormalWeb"/>
            </w:pPr>
          </w:p>
        </w:tc>
      </w:tr>
      <w:tr w:rsidR="000802F9" w:rsidTr="00741A55">
        <w:tc>
          <w:tcPr>
            <w:tcW w:w="4428" w:type="dxa"/>
            <w:tcBorders>
              <w:top w:val="single" w:sz="4" w:space="0" w:color="auto"/>
            </w:tcBorders>
          </w:tcPr>
          <w:p w:rsidR="000802F9" w:rsidRDefault="000802F9" w:rsidP="00741A55">
            <w:pPr>
              <w:pStyle w:val="NormalWeb"/>
            </w:pPr>
            <w:r>
              <w:t>Witness</w:t>
            </w:r>
          </w:p>
        </w:tc>
        <w:tc>
          <w:tcPr>
            <w:tcW w:w="4068" w:type="dxa"/>
          </w:tcPr>
          <w:p w:rsidR="000802F9" w:rsidRDefault="000802F9" w:rsidP="00741A55">
            <w:pPr>
              <w:pStyle w:val="NormalWeb"/>
            </w:pPr>
          </w:p>
          <w:p w:rsidR="000802F9" w:rsidRDefault="000802F9" w:rsidP="00741A55">
            <w:pPr>
              <w:pStyle w:val="NormalWeb"/>
            </w:pPr>
          </w:p>
          <w:p w:rsidR="000802F9" w:rsidRDefault="000802F9" w:rsidP="00741A55">
            <w:pPr>
              <w:pStyle w:val="NormalWeb"/>
            </w:pPr>
          </w:p>
        </w:tc>
      </w:tr>
    </w:tbl>
    <w:p w:rsidR="000802F9" w:rsidRDefault="000802F9" w:rsidP="000802F9">
      <w:pPr>
        <w:rPr>
          <w:sz w:val="24"/>
          <w:szCs w:val="24"/>
        </w:rPr>
      </w:pPr>
    </w:p>
    <w:p w:rsidR="00572B51" w:rsidRDefault="00572B51">
      <w:bookmarkStart w:id="0" w:name="_GoBack"/>
      <w:bookmarkEnd w:id="0"/>
    </w:p>
    <w:sectPr w:rsidR="00572B51">
      <w:headerReference w:type="even" r:id="rId5"/>
      <w:headerReference w:type="default" r:id="rId6"/>
      <w:footerReference w:type="even" r:id="rId7"/>
      <w:footerReference w:type="default" r:id="rId8"/>
      <w:headerReference w:type="first" r:id="rId9"/>
      <w:footerReference w:type="first" r:id="rId10"/>
      <w:pgSz w:w="12240" w:h="15840"/>
      <w:pgMar w:top="720" w:right="720" w:bottom="630" w:left="720" w:header="720" w:footer="486"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EA" w:rsidRDefault="00080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98272"/>
      <w:docPartObj>
        <w:docPartGallery w:val="Page Numbers (Bottom of Page)"/>
        <w:docPartUnique/>
      </w:docPartObj>
    </w:sdtPr>
    <w:sdtEndPr>
      <w:rPr>
        <w:noProof/>
      </w:rPr>
    </w:sdtEndPr>
    <w:sdtContent>
      <w:p w:rsidR="003566EA" w:rsidRDefault="000802F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566EA" w:rsidRDefault="000802F9">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EA" w:rsidRDefault="000802F9">
    <w:pPr>
      <w:pStyle w:val="Footer"/>
      <w:jc w:val="right"/>
      <w:rPr>
        <w:sz w:val="20"/>
      </w:rPr>
    </w:pPr>
    <w:r>
      <w:rPr>
        <w:sz w:val="20"/>
      </w:rPr>
      <w:t>rev</w:t>
    </w:r>
    <w:r>
      <w:rPr>
        <w:sz w:val="20"/>
      </w:rPr>
      <w:t>. 3/2012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EA" w:rsidRDefault="0008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EA" w:rsidRDefault="000802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EA" w:rsidRDefault="000802F9">
    <w:pPr>
      <w:pStyle w:val="Header"/>
      <w:jc w:val="center"/>
    </w:pPr>
    <w:r>
      <w:rPr>
        <w:noProof/>
      </w:rPr>
      <w:drawing>
        <wp:inline distT="0" distB="0" distL="0" distR="0" wp14:anchorId="1DDA021F" wp14:editId="4F901882">
          <wp:extent cx="1650133" cy="601980"/>
          <wp:effectExtent l="0" t="0" r="7620" b="7620"/>
          <wp:docPr id="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50133"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2734E"/>
    <w:multiLevelType w:val="multilevel"/>
    <w:tmpl w:val="D7AC7566"/>
    <w:lvl w:ilvl="0">
      <w:start w:val="1"/>
      <w:numFmt w:val="decimal"/>
      <w:lvlText w:val="%1."/>
      <w:lvlJc w:val="left"/>
      <w:rPr>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F9"/>
    <w:rsid w:val="000802F9"/>
    <w:rsid w:val="0057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CB1EE-D69F-44A7-A5CD-41D2E725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2F9"/>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02F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Standard"/>
    <w:rsid w:val="000802F9"/>
  </w:style>
  <w:style w:type="paragraph" w:styleId="Header">
    <w:name w:val="header"/>
    <w:basedOn w:val="Standard"/>
    <w:link w:val="HeaderChar"/>
    <w:rsid w:val="000802F9"/>
    <w:pPr>
      <w:suppressLineNumbers/>
      <w:tabs>
        <w:tab w:val="center" w:pos="4680"/>
        <w:tab w:val="right" w:pos="9360"/>
      </w:tabs>
    </w:pPr>
  </w:style>
  <w:style w:type="character" w:customStyle="1" w:styleId="HeaderChar">
    <w:name w:val="Header Char"/>
    <w:basedOn w:val="DefaultParagraphFont"/>
    <w:link w:val="Header"/>
    <w:rsid w:val="000802F9"/>
    <w:rPr>
      <w:rFonts w:ascii="Times New Roman" w:eastAsia="Times New Roman" w:hAnsi="Times New Roman" w:cs="Times New Roman"/>
      <w:kern w:val="3"/>
      <w:sz w:val="24"/>
      <w:szCs w:val="24"/>
    </w:rPr>
  </w:style>
  <w:style w:type="paragraph" w:styleId="Footer">
    <w:name w:val="footer"/>
    <w:basedOn w:val="Standard"/>
    <w:link w:val="FooterChar"/>
    <w:uiPriority w:val="99"/>
    <w:rsid w:val="000802F9"/>
    <w:pPr>
      <w:suppressLineNumbers/>
      <w:tabs>
        <w:tab w:val="center" w:pos="4680"/>
        <w:tab w:val="right" w:pos="9360"/>
      </w:tabs>
    </w:pPr>
  </w:style>
  <w:style w:type="character" w:customStyle="1" w:styleId="FooterChar">
    <w:name w:val="Footer Char"/>
    <w:basedOn w:val="DefaultParagraphFont"/>
    <w:link w:val="Footer"/>
    <w:uiPriority w:val="99"/>
    <w:rsid w:val="000802F9"/>
    <w:rPr>
      <w:rFonts w:ascii="Times New Roman" w:eastAsia="Times New Roman" w:hAnsi="Times New Roman" w:cs="Times New Roman"/>
      <w:kern w:val="3"/>
      <w:sz w:val="24"/>
      <w:szCs w:val="24"/>
    </w:rPr>
  </w:style>
  <w:style w:type="table" w:styleId="TableGrid">
    <w:name w:val="Table Grid"/>
    <w:basedOn w:val="TableNormal"/>
    <w:uiPriority w:val="59"/>
    <w:rsid w:val="000802F9"/>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2017-09-12T18:14:00Z</dcterms:created>
  <dcterms:modified xsi:type="dcterms:W3CDTF">2017-09-12T18:15:00Z</dcterms:modified>
</cp:coreProperties>
</file>